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645B6" w14:textId="52244EC4" w:rsidR="00D10B03" w:rsidRPr="003F04C8" w:rsidRDefault="00D10B03" w:rsidP="007E4874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04C8">
        <w:rPr>
          <w:rFonts w:ascii="Times New Roman" w:hAnsi="Times New Roman" w:cs="Times New Roman"/>
          <w:sz w:val="24"/>
          <w:szCs w:val="24"/>
        </w:rPr>
        <w:t>Филиал «Калининградская ТЭЦ-2» АО «</w:t>
      </w:r>
      <w:proofErr w:type="spellStart"/>
      <w:r w:rsidRPr="003F04C8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 w:cs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 w:cs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 w:cs="Times New Roman"/>
          <w:sz w:val="24"/>
          <w:szCs w:val="24"/>
        </w:rPr>
        <w:t>».</w:t>
      </w:r>
    </w:p>
    <w:p w14:paraId="74359EEA" w14:textId="77777777" w:rsidR="00D10B03" w:rsidRPr="003F04C8" w:rsidRDefault="00D10B03" w:rsidP="007E487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3F04C8">
        <w:rPr>
          <w:rFonts w:ascii="Times New Roman" w:hAnsi="Times New Roman" w:cs="Times New Roman"/>
          <w:sz w:val="24"/>
          <w:szCs w:val="24"/>
        </w:rPr>
        <w:t>Докладчик:</w:t>
      </w:r>
    </w:p>
    <w:p w14:paraId="76287713" w14:textId="71673A4A" w:rsidR="00D10B03" w:rsidRPr="003F04C8" w:rsidRDefault="00D10B03" w:rsidP="007E487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3F04C8">
        <w:rPr>
          <w:rFonts w:ascii="Times New Roman" w:hAnsi="Times New Roman" w:cs="Times New Roman"/>
          <w:sz w:val="24"/>
          <w:szCs w:val="24"/>
        </w:rPr>
        <w:t>Ведущий инженер по инновациям и энергетической эффективности Заковряшин И.С.</w:t>
      </w:r>
    </w:p>
    <w:p w14:paraId="59422CE1" w14:textId="77777777" w:rsidR="00D10B03" w:rsidRPr="003F04C8" w:rsidRDefault="00D10B03" w:rsidP="007E4874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Theme="majorEastAsia" w:hAnsi="Times New Roman" w:cs="Times New Roman"/>
          <w:spacing w:val="-10"/>
          <w:sz w:val="24"/>
          <w:szCs w:val="24"/>
        </w:rPr>
      </w:pPr>
    </w:p>
    <w:p w14:paraId="29D52BD5" w14:textId="5BF4CBFA" w:rsidR="00D10B03" w:rsidRPr="003F04C8" w:rsidRDefault="00D10B03" w:rsidP="007E4874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 w:rsidRPr="003F04C8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Исследование технической возможности и экономической целесообразности применения с разработкой и внедрением опытно-промышленного образца распределенной системы накопления электрической энергии в целях оптимизации режимов работы энергетического оборудования ТЭС АО «</w:t>
      </w:r>
      <w:proofErr w:type="spellStart"/>
      <w:r w:rsidRPr="003F04C8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Интер</w:t>
      </w:r>
      <w:proofErr w:type="spellEnd"/>
      <w:r w:rsidRPr="003F04C8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», размещаемого в островных энергосистемах на примере энергосистемы Калининградской области</w:t>
      </w:r>
    </w:p>
    <w:p w14:paraId="3713D3DE" w14:textId="77777777" w:rsidR="00D10B03" w:rsidRPr="003F04C8" w:rsidRDefault="00D10B03" w:rsidP="007E487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14:paraId="283FB89B" w14:textId="1025123F" w:rsidR="007E4874" w:rsidRPr="003F04C8" w:rsidRDefault="00D10B03" w:rsidP="007E48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/>
          <w:sz w:val="24"/>
          <w:szCs w:val="24"/>
        </w:rPr>
        <w:t>» с целью обеспечения безопасности и надежности энергоснабжения Калининградской области</w:t>
      </w:r>
      <w:r w:rsidRPr="003F04C8" w:rsidDel="008F29DE">
        <w:rPr>
          <w:rFonts w:ascii="Times New Roman" w:hAnsi="Times New Roman"/>
          <w:sz w:val="24"/>
          <w:szCs w:val="24"/>
        </w:rPr>
        <w:t xml:space="preserve"> </w:t>
      </w:r>
      <w:r w:rsidRPr="003F04C8">
        <w:rPr>
          <w:rFonts w:ascii="Times New Roman" w:hAnsi="Times New Roman"/>
          <w:sz w:val="24"/>
          <w:szCs w:val="24"/>
        </w:rPr>
        <w:t xml:space="preserve">реализовало проект увеличения генерирующих мощностей в рамках Плана мероприятий «Об обеспечении энергоснабжения Калининградской области и объединённой энергетической системы Северо-Запада России», утверждённым распоряжением Правительства Российской Федерации от 25.08.2014 № 1623-р-дсп., итогом которого стало строительство и ввод в эксплуатацию </w:t>
      </w:r>
      <w:r w:rsidR="007E4874" w:rsidRPr="003F04C8">
        <w:rPr>
          <w:rFonts w:ascii="Times New Roman" w:hAnsi="Times New Roman"/>
          <w:sz w:val="24"/>
          <w:szCs w:val="24"/>
        </w:rPr>
        <w:t xml:space="preserve">газовых электростанций – Маяковская ТЭС, </w:t>
      </w:r>
      <w:proofErr w:type="spellStart"/>
      <w:r w:rsidR="007E4874" w:rsidRPr="003F04C8">
        <w:rPr>
          <w:rFonts w:ascii="Times New Roman" w:hAnsi="Times New Roman"/>
          <w:sz w:val="24"/>
          <w:szCs w:val="24"/>
        </w:rPr>
        <w:t>Талаховская</w:t>
      </w:r>
      <w:proofErr w:type="spellEnd"/>
      <w:r w:rsidR="007E4874" w:rsidRPr="003F04C8">
        <w:rPr>
          <w:rFonts w:ascii="Times New Roman" w:hAnsi="Times New Roman"/>
          <w:sz w:val="24"/>
          <w:szCs w:val="24"/>
        </w:rPr>
        <w:t xml:space="preserve"> ТЭС, </w:t>
      </w:r>
      <w:proofErr w:type="spellStart"/>
      <w:r w:rsidR="007E4874" w:rsidRPr="003F04C8">
        <w:rPr>
          <w:rFonts w:ascii="Times New Roman" w:hAnsi="Times New Roman"/>
          <w:sz w:val="24"/>
          <w:szCs w:val="24"/>
        </w:rPr>
        <w:t>Прегольская</w:t>
      </w:r>
      <w:proofErr w:type="spellEnd"/>
      <w:r w:rsidR="007E4874" w:rsidRPr="003F04C8">
        <w:rPr>
          <w:rFonts w:ascii="Times New Roman" w:hAnsi="Times New Roman"/>
          <w:sz w:val="24"/>
          <w:szCs w:val="24"/>
        </w:rPr>
        <w:t xml:space="preserve"> ТЭС, а также работающая на каменном угле Приморская ТЭС</w:t>
      </w:r>
      <w:r w:rsidRPr="003F04C8">
        <w:rPr>
          <w:rFonts w:ascii="Times New Roman" w:hAnsi="Times New Roman"/>
          <w:sz w:val="24"/>
          <w:szCs w:val="24"/>
        </w:rPr>
        <w:t xml:space="preserve">, эксплуатируемых филиалом «Калининградская ТЭЦ-2». </w:t>
      </w:r>
    </w:p>
    <w:p w14:paraId="7BB70FE5" w14:textId="77777777" w:rsidR="006247A7" w:rsidRPr="003F04C8" w:rsidRDefault="006247A7" w:rsidP="00624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 xml:space="preserve">В настоящее время энергосистема Калининградской области работает в режиме «нулевого перетока» на границе с энергосистемой Литвы с обязательством круглосуточного поддержания нулевых значений сальдированных межгосударственных перетоков электроэнергии на каждом часовом интервале. Существует высокая вероятность того, что в ближайшей перспективе энергосистема Калининградской области будет вынуждена перейти в полностью автономный (изолированный или островной) режим. Работа энергосистемы в островном режиме требует поддержания точного баланса мощности генерации и потребления в каждый момент времени, что необходимо для обеспечения нормативных значений частоты и уровней напряжения в ее узлах. Физическая необходимость соблюдения баланса мгновенных мощностей накладывает специфические требования к режимам использования энергетического оборудования островной энергосистемы, в частности, к его участию в резервировании генерирующих мощностей, в регулировании частоты, напряжения и других параметров электрического режима, и, кроме того, к функциональности систем автоматического управления электроэнергетическими режимами. В частности, работа в островном режиме приводит к потребности поддержания высокого уровня вращающихся резервов мощности, задачей которых является быстрый набор/сброс генерируемой мощности для соблюдения баланса мгновенной мощности в периоды характерных суточных подъемов и спадов потребления, при случайных флуктуациях нагрузки потребления или при внезапных отключениях генерирующего оборудования. Также актуальной для островной энергосистемы является функция разворота электростанций «с нуля» после полного или частичного погашения энергосистемы. </w:t>
      </w:r>
    </w:p>
    <w:p w14:paraId="398C71B7" w14:textId="77777777" w:rsidR="006247A7" w:rsidRPr="003F04C8" w:rsidRDefault="006247A7" w:rsidP="007E48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 xml:space="preserve">Дополнительные системные технологические вызовы в текущих политико-экономических условиях сопряжены с проблемами технического обслуживания импортного генерирующего оборудования. </w:t>
      </w:r>
      <w:r w:rsidR="007E4874" w:rsidRPr="003F04C8">
        <w:rPr>
          <w:rFonts w:ascii="Times New Roman" w:hAnsi="Times New Roman"/>
          <w:sz w:val="24"/>
          <w:szCs w:val="24"/>
        </w:rPr>
        <w:t>Оценивая риски и санкционную политику, принятую значительным количеством стран, компании и фирмы-производители которых ранее являлись поставщиками оборудования и запасных частей для электростанций Калининградской области был принят ряд решений, позволяющий в последствии нивелировать воздействие негативных факторов промышленной изоляции энергетики РФ.</w:t>
      </w:r>
    </w:p>
    <w:p w14:paraId="422FF30E" w14:textId="1CF64ED2" w:rsidR="00F947AD" w:rsidRPr="003F04C8" w:rsidRDefault="007E4874" w:rsidP="007E48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Одним из направлений развития энергетической системы Калининградской области компания «Интер РАО» видит во внедрение распределенной системы накопления электрической энергии.</w:t>
      </w:r>
      <w:r w:rsidR="006247A7" w:rsidRPr="003F04C8">
        <w:rPr>
          <w:rFonts w:ascii="Times New Roman" w:hAnsi="Times New Roman"/>
          <w:sz w:val="24"/>
          <w:szCs w:val="24"/>
        </w:rPr>
        <w:t xml:space="preserve"> </w:t>
      </w:r>
      <w:r w:rsidR="00F947AD" w:rsidRPr="003F04C8">
        <w:rPr>
          <w:rFonts w:ascii="Times New Roman" w:hAnsi="Times New Roman"/>
          <w:sz w:val="24"/>
          <w:szCs w:val="24"/>
        </w:rPr>
        <w:t>В настоящее время рассматривается возможность реализации проекта НИОКР «Исследование технической возможности и экономической целесообразности применения с разработкой и внедрением опытно-промышленного образца распределенной системы накопления электрической энергии в целях оптимизации режимов работы энергетического оборудования ТЭС АО «</w:t>
      </w:r>
      <w:proofErr w:type="spellStart"/>
      <w:r w:rsidR="00F947AD"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="00F947AD"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="00F947AD"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="00F947AD" w:rsidRPr="003F04C8">
        <w:rPr>
          <w:rFonts w:ascii="Times New Roman" w:hAnsi="Times New Roman"/>
          <w:sz w:val="24"/>
          <w:szCs w:val="24"/>
        </w:rPr>
        <w:t>», размещаемого в островных энергосистемах на примере энергосистемы Калининградской области».</w:t>
      </w:r>
    </w:p>
    <w:p w14:paraId="688DB28D" w14:textId="449B5692" w:rsidR="00F947AD" w:rsidRPr="003F04C8" w:rsidRDefault="00F947AD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lastRenderedPageBreak/>
        <w:t>Данная работа предполагает оценку возможности и экономической целесообразности  применения систем накопления электрической энергии (далее – СНЭЭ) для оптимизации режимов работы энергосистемы Калининградской области (далее – ЭСКАО) по критерию минимизации затрат на эксплуатацию, ремонт и техническое обслуживание генерирующего оборудования 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/>
          <w:sz w:val="24"/>
          <w:szCs w:val="24"/>
        </w:rPr>
        <w:t>» и повышение эффектности производства электроэнергии.</w:t>
      </w:r>
    </w:p>
    <w:p w14:paraId="503212B5" w14:textId="4B73597B" w:rsidR="00F947AD" w:rsidRPr="003F04C8" w:rsidRDefault="00F947AD" w:rsidP="001C2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В данной работе использование СНЭЭ рассматривается элементом, обеспечивающим надежное выполнение функции выравнивания графиков выдачи мощности генерирующего оборудования ТЭС за счет накопления электрической энергии в режимах минимальных нагрузок и ее выдачи в режиме максимальных нагрузок.</w:t>
      </w:r>
    </w:p>
    <w:p w14:paraId="233CA5B1" w14:textId="2DA3BF8D" w:rsidR="001C236B" w:rsidRPr="003F04C8" w:rsidRDefault="001C236B" w:rsidP="001C2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Основные цели проекта:</w:t>
      </w:r>
    </w:p>
    <w:p w14:paraId="1FDF1833" w14:textId="209DC383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оценка увеличения продолжительности эксплуатационной стадии жизненного цикла энергоблоков ТЭС (в результате возможного увеличения промежутков времени, нарабатываемых между событиями технического обслуживания (ТО) энергооборудования);</w:t>
      </w:r>
    </w:p>
    <w:p w14:paraId="4CB01B64" w14:textId="59E8BD1C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 xml:space="preserve">исследование возможности увеличения продолжительности эксплуатационной стадии жизненного цикла энергоблоков ТЭС за счет увеличения промежутков времени, нарабатываемых между событиями технического обслуживания (ТО) энергооборудования  (снижения часов горения «fire hours») в результате останова малонагруженных генераторов и переноса необходимого энергосистеме вращающегося резерва мощности на РСНЭЭ. </w:t>
      </w:r>
    </w:p>
    <w:p w14:paraId="1B17B461" w14:textId="4911F1CD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анализ возможности управления продолжительностью межремонтных периодов генерирующего оборудования за счет применения РСНЭЭ.</w:t>
      </w:r>
    </w:p>
    <w:p w14:paraId="776FBA09" w14:textId="708F9AA1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 xml:space="preserve">анализ возможности повышения стабильности работы, снижения количества включений/отключений и повышения электрического КПД </w:t>
      </w:r>
      <w:proofErr w:type="spellStart"/>
      <w:r w:rsidRPr="003F04C8">
        <w:rPr>
          <w:rFonts w:ascii="Times New Roman" w:hAnsi="Times New Roman"/>
          <w:sz w:val="24"/>
          <w:szCs w:val="24"/>
        </w:rPr>
        <w:t>энергоагрегатов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ТЭС за счет снижения продолжительности их работы в режимах малых нагрузок, характерных повышенным расходом топлива.</w:t>
      </w:r>
    </w:p>
    <w:p w14:paraId="1440F271" w14:textId="25F9ADCA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исследование способа повышения надежности энергосистемы путем внедрения системы ввода вторичных резервов.</w:t>
      </w:r>
    </w:p>
    <w:p w14:paraId="1AA1A69B" w14:textId="067B85BA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внедрение (разработка и внедрение опытно-промышленного образца элемента РСНЭЭ) дополнительного пускорезервного средства СНЭС изолированно-работающей энергосистемы Калининградской области, в том числе при развороте с нуля (блэкаута).</w:t>
      </w:r>
    </w:p>
    <w:p w14:paraId="46813BB6" w14:textId="4CA564F1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резервирование мощности для особо ответственных потребителей электрической энергии.</w:t>
      </w:r>
    </w:p>
    <w:p w14:paraId="66DC7FD2" w14:textId="28D4581A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ab/>
        <w:t>В рамках выполнения работы 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/>
          <w:sz w:val="24"/>
          <w:szCs w:val="24"/>
        </w:rPr>
        <w:t>» ставит перед исполнителем решение следующих задач:</w:t>
      </w:r>
    </w:p>
    <w:p w14:paraId="5DE3256D" w14:textId="2EA596B9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Ref115700653"/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выявление особенностей и проблем с регулированием балансов активной и реактивной мощностей, частоты и напряжений в ЭСКАО в изолированном режиме на основании анализа динамики и трендов текущих межгосударственных перетоков мощности в электрическом сечении ЭСКАО и энергосистемы Литвы в режиме с «нулевым перетоком».</w:t>
      </w:r>
      <w:bookmarkEnd w:id="1"/>
    </w:p>
    <w:p w14:paraId="4F5D6EB8" w14:textId="6F55AB41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Ref121508381"/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разработка вариантов участия РСНЭЭ и моделирование этого участия в процессах регулирования частоты и напряжения в ЭСКАО в нормальных режимах и режимах внезапного отключения генераторов по принципу N-1, N-2 при нормативных возмущениях в энергосистеме.</w:t>
      </w:r>
      <w:bookmarkEnd w:id="2"/>
    </w:p>
    <w:p w14:paraId="4E6D6EF8" w14:textId="2966A56F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разработка физической модели СНЭЭ для исследования и дальнейшего учета процессов их календарного и циклического старения электрохимических накопителей, планируемых к применению в ЭСКАО. Определение значения утерянной емкости накопителя в процессе его работы.</w:t>
      </w:r>
    </w:p>
    <w:p w14:paraId="57471009" w14:textId="353D6A29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 xml:space="preserve">создание имитационной модели инвертора и его системы автоматического управления, основанной на принципе системы виртуальной инерции. </w:t>
      </w:r>
      <w:bookmarkStart w:id="3" w:name="_Hlk126152750"/>
      <w:r w:rsidRPr="003F04C8">
        <w:rPr>
          <w:rFonts w:ascii="Times New Roman" w:hAnsi="Times New Roman"/>
          <w:sz w:val="24"/>
          <w:szCs w:val="24"/>
        </w:rPr>
        <w:t>Проведение экспериментов на физическом инверторе для верификации имитационной модели. Модернизация системы автоматического управления инвертора на основе системы виртуальной инерции для работы при ЭМПП. Проведение испытаний на физическом инверторе с модернизированной системой автоматического управления. Анализ эффективности применения модернизированной системы автоматического управления инвертора на основе системы виртуальной инерции при ЭМПП.</w:t>
      </w:r>
    </w:p>
    <w:p w14:paraId="5C3F1158" w14:textId="25ED3C70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Ref115700669"/>
      <w:bookmarkEnd w:id="3"/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разработка принципиальной структуры системы автоматического управления (САУ) РСНЭЭ.</w:t>
      </w:r>
      <w:bookmarkEnd w:id="4"/>
    </w:p>
    <w:p w14:paraId="7EC04115" w14:textId="5496AF92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lastRenderedPageBreak/>
        <w:t>-</w:t>
      </w:r>
      <w:r w:rsidRPr="003F04C8">
        <w:rPr>
          <w:rFonts w:ascii="Times New Roman" w:hAnsi="Times New Roman"/>
          <w:sz w:val="24"/>
          <w:szCs w:val="24"/>
        </w:rPr>
        <w:tab/>
        <w:t>разработка структурной и математической модели распределенной системы накопления электроэнергии в составе Калининградской генерации 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/>
          <w:sz w:val="24"/>
          <w:szCs w:val="24"/>
        </w:rPr>
        <w:t>», для реализации в расчетных программных комплексах.</w:t>
      </w:r>
    </w:p>
    <w:p w14:paraId="308DB1C0" w14:textId="7CDD359E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разработка документации с описанием технических решений в отношении системы автоматической централизованной управляющей координации (САЦК) РСНЭЭ, размещаемого на объектах Калининградской генерации 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/>
          <w:sz w:val="24"/>
          <w:szCs w:val="24"/>
        </w:rPr>
        <w:t>»;</w:t>
      </w:r>
    </w:p>
    <w:p w14:paraId="46E8D49D" w14:textId="7A3CCBA6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выполнение технико-экономического обоснования (ТЭО) целесообразности внедрения РСНЭЭ для 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Интер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РАО – </w:t>
      </w:r>
      <w:proofErr w:type="spellStart"/>
      <w:r w:rsidRPr="003F04C8">
        <w:rPr>
          <w:rFonts w:ascii="Times New Roman" w:hAnsi="Times New Roman"/>
          <w:sz w:val="24"/>
          <w:szCs w:val="24"/>
        </w:rPr>
        <w:t>Электрогенерация</w:t>
      </w:r>
      <w:proofErr w:type="spellEnd"/>
      <w:r w:rsidRPr="003F04C8">
        <w:rPr>
          <w:rFonts w:ascii="Times New Roman" w:hAnsi="Times New Roman"/>
          <w:sz w:val="24"/>
          <w:szCs w:val="24"/>
        </w:rPr>
        <w:t>».</w:t>
      </w:r>
    </w:p>
    <w:p w14:paraId="6D3157E9" w14:textId="4655F20B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экспериментальное подтверждение правильности предлагаемых технических решений на физической модели ЭСКАО.</w:t>
      </w:r>
    </w:p>
    <w:p w14:paraId="19066D6C" w14:textId="11EDF89D" w:rsidR="001C236B" w:rsidRPr="003F04C8" w:rsidRDefault="001C236B" w:rsidP="001C2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-</w:t>
      </w:r>
      <w:r w:rsidRPr="003F04C8">
        <w:rPr>
          <w:rFonts w:ascii="Times New Roman" w:hAnsi="Times New Roman"/>
          <w:sz w:val="24"/>
          <w:szCs w:val="24"/>
        </w:rPr>
        <w:tab/>
        <w:t>разработка и внедрение опытно-промышленного образца элемента РСНЭЭ в одном из узлов ЭСКАО с системой управления, управляющей элементом РСНЭЭ.</w:t>
      </w:r>
    </w:p>
    <w:p w14:paraId="45A07FBA" w14:textId="77777777" w:rsidR="00F947AD" w:rsidRPr="003F04C8" w:rsidRDefault="00F947AD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 xml:space="preserve">В процессе работы при определении параметров РСНЭЭ будут исследованы и учтены процессы их календарного и циклического старения и процессы их деградации. СНЭЭ подключаются к электросети с помощью силовой преобразовательной техники – инверторов и являются источником только активной мощности, поэтому не поддерживают устойчивость параллельной работы генераторов в энергосистеме при возникновении возмущений. В данной работе будет исследовано улучшение условий устойчивости ЭЭС с РСНЭЭ через придание системе (накопитель-инвертор) свойств синхронных генераторов в переходных режимах через использование систем виртуальной инерции – комплекса устройств и алгоритмов, выполняющего преобразование постоянного тока в переменный ток промышленной частоты и имитирующего инерционный отклик синхронных машин традиционных генераторов на возмущения в электрической сети. Это позволит поддержать устойчивость в ЭСКАО при возникновении внезапных отключений и аварийных возмущений и, выступая в качестве источника реактивной мощности, поддержать напряжение в узлах сети. </w:t>
      </w:r>
    </w:p>
    <w:p w14:paraId="30A5B217" w14:textId="6FAA3044" w:rsidR="001C236B" w:rsidRPr="003F04C8" w:rsidRDefault="001C236B" w:rsidP="001C2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При получении положительных технико-финансовых прогнозов на каждом этапе исследовательской работы заключительным этапом проекта планируется</w:t>
      </w:r>
      <w:bookmarkStart w:id="5" w:name="_Hlk134611932"/>
      <w:r w:rsidRPr="003F04C8">
        <w:rPr>
          <w:rFonts w:ascii="Times New Roman" w:hAnsi="Times New Roman"/>
          <w:sz w:val="24"/>
          <w:szCs w:val="24"/>
        </w:rPr>
        <w:t xml:space="preserve"> разработка внедрение опытно-промышленного образца (прототипа) элемента РСНЭЭ в одном из узлов ЭСКАО с системой управления, управляющей элементом РСНЭЭ </w:t>
      </w:r>
      <w:bookmarkEnd w:id="5"/>
      <w:r w:rsidRPr="003F04C8">
        <w:rPr>
          <w:rFonts w:ascii="Times New Roman" w:hAnsi="Times New Roman"/>
          <w:sz w:val="24"/>
          <w:szCs w:val="24"/>
        </w:rPr>
        <w:t>в части предоставления синхронного резерва мощности при различных флуктуациях баланса мощности ЭСКАО и информационно-управляющего взаимодействия с АО «СО</w:t>
      </w:r>
      <w:r w:rsidR="003F04C8" w:rsidRPr="003F04C8">
        <w:rPr>
          <w:rFonts w:ascii="Times New Roman" w:hAnsi="Times New Roman"/>
          <w:sz w:val="24"/>
          <w:szCs w:val="24"/>
        </w:rPr>
        <w:t xml:space="preserve"> </w:t>
      </w:r>
      <w:r w:rsidRPr="003F04C8">
        <w:rPr>
          <w:rFonts w:ascii="Times New Roman" w:hAnsi="Times New Roman"/>
          <w:sz w:val="24"/>
          <w:szCs w:val="24"/>
        </w:rPr>
        <w:t>ЕЭС».</w:t>
      </w:r>
      <w:r w:rsidR="003F04C8" w:rsidRPr="003F04C8">
        <w:rPr>
          <w:rFonts w:ascii="Times New Roman" w:hAnsi="Times New Roman"/>
          <w:sz w:val="24"/>
          <w:szCs w:val="24"/>
        </w:rPr>
        <w:t xml:space="preserve"> Мощность и емкость РСНЭЭ будет определена проектом, в зависимости от функциональной необходимости.</w:t>
      </w:r>
    </w:p>
    <w:p w14:paraId="3A90BFE3" w14:textId="77777777" w:rsidR="007E4874" w:rsidRPr="003F04C8" w:rsidRDefault="007E4874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Данную работу планируется выполнить силами консорциума (ООО «Интер РАО – Инжиниринг», ООО «</w:t>
      </w:r>
      <w:proofErr w:type="spellStart"/>
      <w:r w:rsidRPr="003F04C8">
        <w:rPr>
          <w:rFonts w:ascii="Times New Roman" w:hAnsi="Times New Roman"/>
          <w:sz w:val="24"/>
          <w:szCs w:val="24"/>
        </w:rPr>
        <w:t>РТСофт</w:t>
      </w:r>
      <w:proofErr w:type="spellEnd"/>
      <w:r w:rsidRPr="003F04C8">
        <w:rPr>
          <w:rFonts w:ascii="Times New Roman" w:hAnsi="Times New Roman"/>
          <w:sz w:val="24"/>
          <w:szCs w:val="24"/>
        </w:rPr>
        <w:t>-СГ», кафедрой ЭС НИУ «МЭИ») с привлечением АО «СО ЕЭС», АО «</w:t>
      </w:r>
      <w:proofErr w:type="spellStart"/>
      <w:r w:rsidRPr="003F04C8">
        <w:rPr>
          <w:rFonts w:ascii="Times New Roman" w:hAnsi="Times New Roman"/>
          <w:sz w:val="24"/>
          <w:szCs w:val="24"/>
        </w:rPr>
        <w:t>Россети</w:t>
      </w:r>
      <w:proofErr w:type="spellEnd"/>
      <w:r w:rsidRPr="003F04C8">
        <w:rPr>
          <w:rFonts w:ascii="Times New Roman" w:hAnsi="Times New Roman"/>
          <w:sz w:val="24"/>
          <w:szCs w:val="24"/>
        </w:rPr>
        <w:t xml:space="preserve"> Янтарь». </w:t>
      </w:r>
    </w:p>
    <w:p w14:paraId="20E2DEF9" w14:textId="3EB0FC98" w:rsidR="007E4874" w:rsidRPr="003F04C8" w:rsidRDefault="007E4874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6D5237" w14:textId="77777777" w:rsidR="00F947AD" w:rsidRPr="003F04C8" w:rsidRDefault="00F947AD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Благодарю за внимание.</w:t>
      </w:r>
    </w:p>
    <w:p w14:paraId="10F7C68C" w14:textId="77777777" w:rsidR="00F947AD" w:rsidRPr="003F04C8" w:rsidRDefault="00F947AD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88B60A" w14:textId="6A8CE3C0" w:rsidR="00F947AD" w:rsidRPr="003F04C8" w:rsidRDefault="00F947AD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4C8">
        <w:rPr>
          <w:rFonts w:ascii="Times New Roman" w:hAnsi="Times New Roman"/>
          <w:sz w:val="24"/>
          <w:szCs w:val="24"/>
        </w:rPr>
        <w:t>Представитель филиала «Калининградская ТЭЦ-2»:</w:t>
      </w:r>
    </w:p>
    <w:p w14:paraId="35AEAFDE" w14:textId="4A2C2579" w:rsidR="00F947AD" w:rsidRPr="003F04C8" w:rsidRDefault="00F947AD" w:rsidP="00F947AD">
      <w:pPr>
        <w:pStyle w:val="af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4C8">
        <w:rPr>
          <w:rFonts w:ascii="Times New Roman" w:hAnsi="Times New Roman" w:cs="Times New Roman"/>
          <w:sz w:val="24"/>
          <w:szCs w:val="24"/>
        </w:rPr>
        <w:t>Ведущий инженер по инновациям и энергетической эффективности</w:t>
      </w:r>
      <w:r w:rsidRPr="003F04C8">
        <w:rPr>
          <w:rFonts w:ascii="Times New Roman" w:hAnsi="Times New Roman" w:cs="Times New Roman"/>
          <w:sz w:val="24"/>
          <w:szCs w:val="24"/>
        </w:rPr>
        <w:tab/>
      </w:r>
      <w:r w:rsidRPr="003F04C8">
        <w:rPr>
          <w:rFonts w:ascii="Times New Roman" w:hAnsi="Times New Roman" w:cs="Times New Roman"/>
          <w:sz w:val="24"/>
          <w:szCs w:val="24"/>
        </w:rPr>
        <w:tab/>
        <w:t>Заковряшин И.С.</w:t>
      </w:r>
    </w:p>
    <w:p w14:paraId="26D715D5" w14:textId="77777777" w:rsidR="00F947AD" w:rsidRPr="003F04C8" w:rsidRDefault="00F947AD" w:rsidP="00F94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947AD" w:rsidRPr="003F04C8" w:rsidSect="000707E8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8F039" w14:textId="77777777" w:rsidR="00876AFF" w:rsidRDefault="00876AFF">
      <w:pPr>
        <w:spacing w:after="0" w:line="240" w:lineRule="auto"/>
      </w:pPr>
      <w:r>
        <w:separator/>
      </w:r>
    </w:p>
  </w:endnote>
  <w:endnote w:type="continuationSeparator" w:id="0">
    <w:p w14:paraId="3CFDCAA4" w14:textId="77777777" w:rsidR="00876AFF" w:rsidRDefault="0087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2DDC9" w14:textId="77777777" w:rsidR="00876AFF" w:rsidRDefault="00876AFF">
      <w:pPr>
        <w:spacing w:after="0" w:line="240" w:lineRule="auto"/>
      </w:pPr>
      <w:r>
        <w:separator/>
      </w:r>
    </w:p>
  </w:footnote>
  <w:footnote w:type="continuationSeparator" w:id="0">
    <w:p w14:paraId="615A8FFA" w14:textId="77777777" w:rsidR="00876AFF" w:rsidRDefault="0087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05A"/>
    <w:multiLevelType w:val="hybridMultilevel"/>
    <w:tmpl w:val="B13274E2"/>
    <w:lvl w:ilvl="0" w:tplc="82322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B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AA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C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A22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69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F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87D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E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0A08"/>
    <w:multiLevelType w:val="hybridMultilevel"/>
    <w:tmpl w:val="E7DA2EFC"/>
    <w:lvl w:ilvl="0" w:tplc="D86C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40E7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163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A2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B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4B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9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B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28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3534"/>
    <w:multiLevelType w:val="hybridMultilevel"/>
    <w:tmpl w:val="AF5A9E7C"/>
    <w:lvl w:ilvl="0" w:tplc="A2505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5E7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0C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0C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E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4F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F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83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1C1A"/>
    <w:multiLevelType w:val="hybridMultilevel"/>
    <w:tmpl w:val="E28A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72F4C"/>
    <w:multiLevelType w:val="hybridMultilevel"/>
    <w:tmpl w:val="422AAC46"/>
    <w:lvl w:ilvl="0" w:tplc="7EC6E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D67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2C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F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D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E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AA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A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6D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02F23"/>
    <w:multiLevelType w:val="multilevel"/>
    <w:tmpl w:val="187E1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D4304FC"/>
    <w:multiLevelType w:val="multilevel"/>
    <w:tmpl w:val="9462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hAnsi="Times New Roman" w:cs="Times New Roman" w:hint="default"/>
        <w:b w:val="0"/>
        <w:highlight w:val="whit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61B2F14"/>
    <w:multiLevelType w:val="hybridMultilevel"/>
    <w:tmpl w:val="9A288A9C"/>
    <w:lvl w:ilvl="0" w:tplc="FF6A1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67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6B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7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C9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81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C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6A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60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52A4E"/>
    <w:multiLevelType w:val="hybridMultilevel"/>
    <w:tmpl w:val="7DD8295A"/>
    <w:lvl w:ilvl="0" w:tplc="AD60D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8AD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9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C7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B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28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A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AC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E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0686"/>
    <w:multiLevelType w:val="multilevel"/>
    <w:tmpl w:val="98AA33E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650F4EF9"/>
    <w:multiLevelType w:val="hybridMultilevel"/>
    <w:tmpl w:val="BC2EBA06"/>
    <w:lvl w:ilvl="0" w:tplc="2B92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18A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A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45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4A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A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63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4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88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E04DF"/>
    <w:multiLevelType w:val="hybridMultilevel"/>
    <w:tmpl w:val="00202504"/>
    <w:lvl w:ilvl="0" w:tplc="58BC809A">
      <w:start w:val="1"/>
      <w:numFmt w:val="decimal"/>
      <w:lvlText w:val="%1."/>
      <w:lvlJc w:val="left"/>
    </w:lvl>
    <w:lvl w:ilvl="1" w:tplc="281E7E12">
      <w:start w:val="1"/>
      <w:numFmt w:val="lowerLetter"/>
      <w:lvlText w:val="%2."/>
      <w:lvlJc w:val="left"/>
      <w:pPr>
        <w:ind w:left="1440" w:hanging="360"/>
      </w:pPr>
    </w:lvl>
    <w:lvl w:ilvl="2" w:tplc="F6B4F15A">
      <w:start w:val="1"/>
      <w:numFmt w:val="lowerRoman"/>
      <w:lvlText w:val="%3."/>
      <w:lvlJc w:val="right"/>
      <w:pPr>
        <w:ind w:left="2160" w:hanging="180"/>
      </w:pPr>
    </w:lvl>
    <w:lvl w:ilvl="3" w:tplc="8F3EC286">
      <w:start w:val="1"/>
      <w:numFmt w:val="decimal"/>
      <w:lvlText w:val="%4."/>
      <w:lvlJc w:val="left"/>
      <w:pPr>
        <w:ind w:left="2880" w:hanging="360"/>
      </w:pPr>
    </w:lvl>
    <w:lvl w:ilvl="4" w:tplc="20384C06">
      <w:start w:val="1"/>
      <w:numFmt w:val="lowerLetter"/>
      <w:lvlText w:val="%5."/>
      <w:lvlJc w:val="left"/>
      <w:pPr>
        <w:ind w:left="3600" w:hanging="360"/>
      </w:pPr>
    </w:lvl>
    <w:lvl w:ilvl="5" w:tplc="1B7EF1BA">
      <w:start w:val="1"/>
      <w:numFmt w:val="lowerRoman"/>
      <w:lvlText w:val="%6."/>
      <w:lvlJc w:val="right"/>
      <w:pPr>
        <w:ind w:left="4320" w:hanging="180"/>
      </w:pPr>
    </w:lvl>
    <w:lvl w:ilvl="6" w:tplc="2EFE4CD4">
      <w:start w:val="1"/>
      <w:numFmt w:val="decimal"/>
      <w:lvlText w:val="%7."/>
      <w:lvlJc w:val="left"/>
      <w:pPr>
        <w:ind w:left="5040" w:hanging="360"/>
      </w:pPr>
    </w:lvl>
    <w:lvl w:ilvl="7" w:tplc="D688BFDE">
      <w:start w:val="1"/>
      <w:numFmt w:val="lowerLetter"/>
      <w:lvlText w:val="%8."/>
      <w:lvlJc w:val="left"/>
      <w:pPr>
        <w:ind w:left="5760" w:hanging="360"/>
      </w:pPr>
    </w:lvl>
    <w:lvl w:ilvl="8" w:tplc="4C5003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E3A2A"/>
    <w:multiLevelType w:val="hybridMultilevel"/>
    <w:tmpl w:val="2FA8969C"/>
    <w:lvl w:ilvl="0" w:tplc="5424605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</w:rPr>
    </w:lvl>
    <w:lvl w:ilvl="1" w:tplc="93B0466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901D9A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88CC0A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F053F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E4AE5DC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9CDFD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36B4CA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763B4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0"/>
    <w:rsid w:val="00000D19"/>
    <w:rsid w:val="000707E8"/>
    <w:rsid w:val="000A566C"/>
    <w:rsid w:val="001C236B"/>
    <w:rsid w:val="003F04C8"/>
    <w:rsid w:val="00460394"/>
    <w:rsid w:val="00467A5B"/>
    <w:rsid w:val="004E646D"/>
    <w:rsid w:val="006247A7"/>
    <w:rsid w:val="007E38F0"/>
    <w:rsid w:val="007E4874"/>
    <w:rsid w:val="00876AFF"/>
    <w:rsid w:val="00941A0F"/>
    <w:rsid w:val="00AA4FF1"/>
    <w:rsid w:val="00AB39FD"/>
    <w:rsid w:val="00B406FC"/>
    <w:rsid w:val="00BB00E0"/>
    <w:rsid w:val="00C75A51"/>
    <w:rsid w:val="00CF5CD1"/>
    <w:rsid w:val="00D10B03"/>
    <w:rsid w:val="00D735AF"/>
    <w:rsid w:val="00F72F8E"/>
    <w:rsid w:val="00F947AD"/>
    <w:rsid w:val="00F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D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Title"/>
    <w:basedOn w:val="a"/>
    <w:next w:val="a"/>
    <w:link w:val="af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standard">
    <w:name w:val="x_standard"/>
    <w:basedOn w:val="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xmsolistparagraph">
    <w:name w:val="x_msolistparagraph"/>
    <w:basedOn w:val="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735A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735A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735A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735A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735AF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D7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735AF"/>
    <w:rPr>
      <w:rFonts w:ascii="Segoe UI" w:hAnsi="Segoe UI" w:cs="Segoe UI"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07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A566C"/>
    <w:rPr>
      <w:color w:val="605E5C"/>
      <w:shd w:val="clear" w:color="auto" w:fill="E1DFDD"/>
    </w:rPr>
  </w:style>
  <w:style w:type="character" w:customStyle="1" w:styleId="a4">
    <w:name w:val="Без интервала Знак"/>
    <w:link w:val="a3"/>
    <w:rsid w:val="00F947AD"/>
  </w:style>
  <w:style w:type="character" w:customStyle="1" w:styleId="af9">
    <w:name w:val="Абзац списка Знак"/>
    <w:link w:val="af8"/>
    <w:uiPriority w:val="34"/>
    <w:rsid w:val="0062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Title"/>
    <w:basedOn w:val="a"/>
    <w:next w:val="a"/>
    <w:link w:val="af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standard">
    <w:name w:val="x_standard"/>
    <w:basedOn w:val="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xmsolistparagraph">
    <w:name w:val="x_msolistparagraph"/>
    <w:basedOn w:val="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735A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735A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735A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735A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735AF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D7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735AF"/>
    <w:rPr>
      <w:rFonts w:ascii="Segoe UI" w:hAnsi="Segoe UI" w:cs="Segoe UI"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07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A566C"/>
    <w:rPr>
      <w:color w:val="605E5C"/>
      <w:shd w:val="clear" w:color="auto" w:fill="E1DFDD"/>
    </w:rPr>
  </w:style>
  <w:style w:type="character" w:customStyle="1" w:styleId="a4">
    <w:name w:val="Без интервала Знак"/>
    <w:link w:val="a3"/>
    <w:rsid w:val="00F947AD"/>
  </w:style>
  <w:style w:type="character" w:customStyle="1" w:styleId="af9">
    <w:name w:val="Абзац списка Знак"/>
    <w:link w:val="af8"/>
    <w:uiPriority w:val="34"/>
    <w:rsid w:val="0062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9006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Shubin</dc:creator>
  <cp:lastModifiedBy>Наталья Владимировна</cp:lastModifiedBy>
  <cp:revision>2</cp:revision>
  <dcterms:created xsi:type="dcterms:W3CDTF">2023-05-11T06:46:00Z</dcterms:created>
  <dcterms:modified xsi:type="dcterms:W3CDTF">2023-05-11T06:46:00Z</dcterms:modified>
</cp:coreProperties>
</file>